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5DB8" w14:textId="77777777" w:rsidR="00B41034" w:rsidRDefault="00B41034" w:rsidP="00214D5D">
      <w:pPr>
        <w:jc w:val="right"/>
        <w:rPr>
          <w:rFonts w:ascii="Garamond" w:hAnsi="Garamond"/>
          <w:b/>
          <w:sz w:val="28"/>
          <w:szCs w:val="24"/>
          <w:lang w:val="en-US"/>
        </w:rPr>
      </w:pPr>
      <w:r>
        <w:rPr>
          <w:rFonts w:ascii="Garamond" w:hAnsi="Garamond"/>
          <w:b/>
          <w:sz w:val="28"/>
          <w:szCs w:val="24"/>
          <w:lang w:val="en-US"/>
        </w:rPr>
        <w:t xml:space="preserve">Organizational Legitimacy Measure: </w:t>
      </w:r>
    </w:p>
    <w:p w14:paraId="0C071BFC" w14:textId="77777777" w:rsidR="005A12A1" w:rsidRDefault="00B41034" w:rsidP="00214D5D">
      <w:pPr>
        <w:pBdr>
          <w:bottom w:val="single" w:sz="4" w:space="1" w:color="auto"/>
        </w:pBdr>
        <w:jc w:val="right"/>
        <w:rPr>
          <w:rFonts w:ascii="Garamond" w:hAnsi="Garamond"/>
          <w:b/>
          <w:sz w:val="28"/>
          <w:szCs w:val="24"/>
          <w:lang w:val="en-US"/>
        </w:rPr>
      </w:pPr>
      <w:r>
        <w:rPr>
          <w:rFonts w:ascii="Garamond" w:hAnsi="Garamond"/>
          <w:b/>
          <w:sz w:val="28"/>
          <w:szCs w:val="24"/>
          <w:lang w:val="en-US"/>
        </w:rPr>
        <w:t>The C</w:t>
      </w:r>
      <w:r w:rsidRPr="00F214A6">
        <w:rPr>
          <w:rFonts w:ascii="Garamond" w:hAnsi="Garamond"/>
          <w:b/>
          <w:sz w:val="28"/>
          <w:szCs w:val="24"/>
          <w:lang w:val="en-US"/>
        </w:rPr>
        <w:t xml:space="preserve">ase of </w:t>
      </w:r>
      <w:r>
        <w:rPr>
          <w:rFonts w:ascii="Garamond" w:hAnsi="Garamond"/>
          <w:b/>
          <w:sz w:val="28"/>
          <w:szCs w:val="24"/>
          <w:lang w:val="en-US"/>
        </w:rPr>
        <w:t>S</w:t>
      </w:r>
      <w:r w:rsidRPr="00F214A6">
        <w:rPr>
          <w:rFonts w:ascii="Garamond" w:hAnsi="Garamond"/>
          <w:b/>
          <w:sz w:val="28"/>
          <w:szCs w:val="24"/>
          <w:lang w:val="en-US"/>
        </w:rPr>
        <w:t xml:space="preserve">panish </w:t>
      </w:r>
      <w:r>
        <w:rPr>
          <w:rFonts w:ascii="Garamond" w:hAnsi="Garamond"/>
          <w:b/>
          <w:sz w:val="28"/>
          <w:szCs w:val="24"/>
          <w:lang w:val="en-US"/>
        </w:rPr>
        <w:t>M</w:t>
      </w:r>
      <w:r w:rsidRPr="00F214A6">
        <w:rPr>
          <w:rFonts w:ascii="Garamond" w:hAnsi="Garamond"/>
          <w:b/>
          <w:sz w:val="28"/>
          <w:szCs w:val="24"/>
          <w:lang w:val="en-US"/>
        </w:rPr>
        <w:t xml:space="preserve">utual </w:t>
      </w:r>
      <w:r>
        <w:rPr>
          <w:rFonts w:ascii="Garamond" w:hAnsi="Garamond"/>
          <w:b/>
          <w:sz w:val="28"/>
          <w:szCs w:val="24"/>
          <w:lang w:val="en-US"/>
        </w:rPr>
        <w:t>G</w:t>
      </w:r>
      <w:r w:rsidRPr="00F214A6">
        <w:rPr>
          <w:rFonts w:ascii="Garamond" w:hAnsi="Garamond"/>
          <w:b/>
          <w:sz w:val="28"/>
          <w:szCs w:val="24"/>
          <w:lang w:val="en-US"/>
        </w:rPr>
        <w:t xml:space="preserve">uarantee </w:t>
      </w:r>
      <w:r>
        <w:rPr>
          <w:rFonts w:ascii="Garamond" w:hAnsi="Garamond"/>
          <w:b/>
          <w:sz w:val="28"/>
          <w:szCs w:val="24"/>
          <w:lang w:val="en-US"/>
        </w:rPr>
        <w:t>S</w:t>
      </w:r>
      <w:r w:rsidRPr="00F214A6">
        <w:rPr>
          <w:rFonts w:ascii="Garamond" w:hAnsi="Garamond"/>
          <w:b/>
          <w:sz w:val="28"/>
          <w:szCs w:val="24"/>
          <w:lang w:val="en-US"/>
        </w:rPr>
        <w:t>ocieties</w:t>
      </w:r>
    </w:p>
    <w:p w14:paraId="07C9589C" w14:textId="77777777" w:rsidR="00B41034" w:rsidRPr="00F214A6" w:rsidRDefault="00B41034" w:rsidP="00214D5D">
      <w:pPr>
        <w:pBdr>
          <w:bottom w:val="single" w:sz="4" w:space="1" w:color="auto"/>
        </w:pBdr>
        <w:jc w:val="right"/>
        <w:rPr>
          <w:rFonts w:ascii="Garamond" w:hAnsi="Garamond"/>
          <w:b/>
          <w:sz w:val="28"/>
          <w:szCs w:val="24"/>
          <w:lang w:val="en-US"/>
        </w:rPr>
      </w:pPr>
    </w:p>
    <w:p w14:paraId="52591CC6" w14:textId="77777777" w:rsidR="008F1C37" w:rsidRPr="00303140" w:rsidRDefault="008F1C37" w:rsidP="008F1C37">
      <w:pPr>
        <w:rPr>
          <w:rFonts w:ascii="Garamond" w:hAnsi="Garamond"/>
          <w:sz w:val="24"/>
          <w:szCs w:val="24"/>
          <w:lang w:val="en-US"/>
        </w:rPr>
      </w:pPr>
    </w:p>
    <w:p w14:paraId="3FB1A6C8" w14:textId="77777777" w:rsidR="008F1C37" w:rsidRPr="00A42FA7" w:rsidRDefault="008F1C37" w:rsidP="008F1C37">
      <w:pPr>
        <w:jc w:val="right"/>
        <w:rPr>
          <w:rFonts w:ascii="Garamond" w:hAnsi="Garamond"/>
          <w:sz w:val="24"/>
          <w:szCs w:val="24"/>
        </w:rPr>
      </w:pPr>
      <w:r>
        <w:rPr>
          <w:rFonts w:ascii="Garamond" w:hAnsi="Garamond"/>
          <w:sz w:val="24"/>
          <w:szCs w:val="24"/>
        </w:rPr>
        <w:t>Nombre Apellidos (email</w:t>
      </w:r>
      <w:r w:rsidRPr="00A42FA7">
        <w:rPr>
          <w:rFonts w:ascii="Garamond" w:hAnsi="Garamond"/>
          <w:sz w:val="24"/>
          <w:szCs w:val="24"/>
        </w:rPr>
        <w:t>)</w:t>
      </w:r>
    </w:p>
    <w:p w14:paraId="1D582B36" w14:textId="77777777" w:rsidR="008F1C37" w:rsidRDefault="008F1C37" w:rsidP="008F1C37">
      <w:pPr>
        <w:jc w:val="right"/>
        <w:rPr>
          <w:rFonts w:ascii="Garamond" w:hAnsi="Garamond"/>
          <w:sz w:val="24"/>
          <w:szCs w:val="24"/>
        </w:rPr>
      </w:pPr>
      <w:r w:rsidRPr="00A42FA7">
        <w:rPr>
          <w:rFonts w:ascii="Garamond" w:hAnsi="Garamond"/>
          <w:sz w:val="24"/>
          <w:szCs w:val="24"/>
        </w:rPr>
        <w:t xml:space="preserve"> Universidad de </w:t>
      </w:r>
    </w:p>
    <w:p w14:paraId="5A7E8750" w14:textId="77777777" w:rsidR="008F1C37" w:rsidRPr="00A42FA7" w:rsidRDefault="008F1C37" w:rsidP="008F1C37">
      <w:pPr>
        <w:jc w:val="right"/>
        <w:rPr>
          <w:rFonts w:ascii="Garamond" w:hAnsi="Garamond"/>
          <w:sz w:val="24"/>
          <w:szCs w:val="24"/>
        </w:rPr>
      </w:pPr>
      <w:r>
        <w:rPr>
          <w:rFonts w:ascii="Garamond" w:hAnsi="Garamond"/>
          <w:sz w:val="24"/>
          <w:szCs w:val="24"/>
        </w:rPr>
        <w:t>Nombre Apellidos (email</w:t>
      </w:r>
      <w:r w:rsidRPr="00A42FA7">
        <w:rPr>
          <w:rFonts w:ascii="Garamond" w:hAnsi="Garamond"/>
          <w:sz w:val="24"/>
          <w:szCs w:val="24"/>
        </w:rPr>
        <w:t>)</w:t>
      </w:r>
    </w:p>
    <w:p w14:paraId="4319F9F4" w14:textId="77777777" w:rsidR="008F1C37" w:rsidRPr="00A42FA7" w:rsidRDefault="008F1C37" w:rsidP="008F1C37">
      <w:pPr>
        <w:jc w:val="right"/>
        <w:rPr>
          <w:rFonts w:ascii="Garamond" w:hAnsi="Garamond"/>
          <w:sz w:val="24"/>
          <w:szCs w:val="24"/>
        </w:rPr>
      </w:pPr>
      <w:r w:rsidRPr="00A42FA7">
        <w:rPr>
          <w:rFonts w:ascii="Garamond" w:hAnsi="Garamond"/>
          <w:sz w:val="24"/>
          <w:szCs w:val="24"/>
        </w:rPr>
        <w:t xml:space="preserve"> Universidad de </w:t>
      </w:r>
    </w:p>
    <w:p w14:paraId="5696E313" w14:textId="77777777" w:rsidR="008F1C37" w:rsidRPr="00A42FA7" w:rsidRDefault="008F1C37" w:rsidP="008F1C37">
      <w:pPr>
        <w:jc w:val="right"/>
        <w:rPr>
          <w:rFonts w:ascii="Garamond" w:hAnsi="Garamond"/>
          <w:sz w:val="24"/>
          <w:szCs w:val="24"/>
        </w:rPr>
      </w:pPr>
      <w:r>
        <w:rPr>
          <w:rFonts w:ascii="Garamond" w:hAnsi="Garamond"/>
          <w:sz w:val="24"/>
          <w:szCs w:val="24"/>
        </w:rPr>
        <w:t>Nombre Apellidos (email</w:t>
      </w:r>
      <w:r w:rsidRPr="00A42FA7">
        <w:rPr>
          <w:rFonts w:ascii="Garamond" w:hAnsi="Garamond"/>
          <w:sz w:val="24"/>
          <w:szCs w:val="24"/>
        </w:rPr>
        <w:t>)</w:t>
      </w:r>
    </w:p>
    <w:p w14:paraId="75923D25" w14:textId="77777777" w:rsidR="008F1C37" w:rsidRPr="00303140" w:rsidRDefault="008F1C37" w:rsidP="008F1C37">
      <w:pPr>
        <w:jc w:val="right"/>
        <w:rPr>
          <w:rFonts w:ascii="Garamond" w:hAnsi="Garamond"/>
          <w:sz w:val="24"/>
          <w:szCs w:val="24"/>
          <w:lang w:val="en-US"/>
        </w:rPr>
      </w:pPr>
      <w:r w:rsidRPr="00A42FA7">
        <w:rPr>
          <w:rFonts w:ascii="Garamond" w:hAnsi="Garamond"/>
          <w:sz w:val="24"/>
          <w:szCs w:val="24"/>
        </w:rPr>
        <w:t xml:space="preserve"> </w:t>
      </w:r>
      <w:r w:rsidRPr="00303140">
        <w:rPr>
          <w:rFonts w:ascii="Garamond" w:hAnsi="Garamond"/>
          <w:sz w:val="24"/>
          <w:szCs w:val="24"/>
          <w:lang w:val="en-US"/>
        </w:rPr>
        <w:t xml:space="preserve">Universidad de </w:t>
      </w:r>
    </w:p>
    <w:p w14:paraId="0640AE34" w14:textId="77777777" w:rsidR="008F1C37" w:rsidRPr="00303140" w:rsidRDefault="008F1C37" w:rsidP="008F1C37">
      <w:pPr>
        <w:jc w:val="right"/>
        <w:rPr>
          <w:rFonts w:ascii="Garamond" w:hAnsi="Garamond"/>
          <w:sz w:val="24"/>
          <w:szCs w:val="24"/>
          <w:lang w:val="en-US"/>
        </w:rPr>
      </w:pPr>
    </w:p>
    <w:p w14:paraId="7A67BACF" w14:textId="77777777" w:rsidR="00214D5D" w:rsidRPr="00034A60" w:rsidRDefault="00214D5D" w:rsidP="00214D5D">
      <w:pPr>
        <w:rPr>
          <w:rFonts w:ascii="Garamond" w:hAnsi="Garamond"/>
          <w:sz w:val="24"/>
          <w:szCs w:val="24"/>
          <w:lang w:val="en-US"/>
        </w:rPr>
      </w:pPr>
    </w:p>
    <w:p w14:paraId="787680B2" w14:textId="77777777" w:rsidR="00E93580" w:rsidRDefault="00D97AAF" w:rsidP="00214D5D">
      <w:pPr>
        <w:jc w:val="both"/>
        <w:rPr>
          <w:rFonts w:ascii="Garamond" w:hAnsi="Garamond"/>
          <w:b/>
          <w:bCs/>
          <w:sz w:val="24"/>
          <w:szCs w:val="24"/>
          <w:lang w:val="en-US"/>
        </w:rPr>
      </w:pPr>
      <w:r w:rsidRPr="00F214A6">
        <w:rPr>
          <w:rFonts w:ascii="Garamond" w:hAnsi="Garamond"/>
          <w:b/>
          <w:bCs/>
          <w:sz w:val="24"/>
          <w:szCs w:val="24"/>
          <w:lang w:val="en-US"/>
        </w:rPr>
        <w:t>ABSTRACT</w:t>
      </w:r>
    </w:p>
    <w:p w14:paraId="75342346" w14:textId="77777777" w:rsidR="00F34FFC" w:rsidRPr="00D97AAF" w:rsidRDefault="00F34FFC" w:rsidP="00214D5D">
      <w:pPr>
        <w:jc w:val="both"/>
        <w:rPr>
          <w:rFonts w:ascii="Garamond" w:hAnsi="Garamond"/>
          <w:i/>
          <w:sz w:val="24"/>
          <w:szCs w:val="24"/>
          <w:lang w:val="en-US"/>
        </w:rPr>
      </w:pPr>
    </w:p>
    <w:p w14:paraId="6C3A22F2" w14:textId="77777777" w:rsidR="00E93580" w:rsidRPr="00F214A6" w:rsidRDefault="00E93580" w:rsidP="00214D5D">
      <w:pPr>
        <w:ind w:firstLine="708"/>
        <w:jc w:val="both"/>
        <w:rPr>
          <w:rFonts w:ascii="Garamond" w:hAnsi="Garamond"/>
          <w:sz w:val="24"/>
          <w:szCs w:val="24"/>
          <w:lang w:val="en-US"/>
        </w:rPr>
      </w:pPr>
      <w:r w:rsidRPr="00F214A6">
        <w:rPr>
          <w:rFonts w:ascii="Garamond" w:hAnsi="Garamond"/>
          <w:bCs/>
          <w:sz w:val="24"/>
          <w:szCs w:val="24"/>
          <w:lang w:val="en-GB"/>
        </w:rPr>
        <w:t xml:space="preserve">In order to understand an organizations' survival and growth, legitimacy plays a key role. Credibility, convenience and adjustment to social norms, values and beliefs make organizations more predictable, trustworthy and balanced. Institutional </w:t>
      </w:r>
      <w:r w:rsidR="00214D5D">
        <w:rPr>
          <w:rFonts w:ascii="Garamond" w:hAnsi="Garamond"/>
          <w:bCs/>
          <w:sz w:val="24"/>
          <w:szCs w:val="24"/>
          <w:lang w:val="en-GB"/>
        </w:rPr>
        <w:t>T</w:t>
      </w:r>
      <w:r w:rsidRPr="00F214A6">
        <w:rPr>
          <w:rFonts w:ascii="Garamond" w:hAnsi="Garamond"/>
          <w:bCs/>
          <w:sz w:val="24"/>
          <w:szCs w:val="24"/>
          <w:lang w:val="en-GB"/>
        </w:rPr>
        <w:t xml:space="preserve">heory identifies legitimacy as a critical success factor that all organizations must consider. In this sense, there is little empirical research in this field, essentially because of the hurdle of quantifying the concept of legitimacy. This study shows a step forward in the effort to establish a methodology for measuring organizational legitimacy. Our research has been developed over the Spanish Mutual Guarantee Societies. We have evaluated their legitimacy and ranked them according to his criterion. Furthermore, we have </w:t>
      </w:r>
      <w:proofErr w:type="spellStart"/>
      <w:r w:rsidRPr="00F214A6">
        <w:rPr>
          <w:rFonts w:ascii="Garamond" w:hAnsi="Garamond"/>
          <w:bCs/>
          <w:sz w:val="24"/>
          <w:szCs w:val="24"/>
          <w:lang w:val="en-GB"/>
        </w:rPr>
        <w:t>analyzed</w:t>
      </w:r>
      <w:proofErr w:type="spellEnd"/>
      <w:r w:rsidRPr="00F214A6">
        <w:rPr>
          <w:rFonts w:ascii="Garamond" w:hAnsi="Garamond"/>
          <w:bCs/>
          <w:sz w:val="24"/>
          <w:szCs w:val="24"/>
          <w:lang w:val="en-GB"/>
        </w:rPr>
        <w:t xml:space="preserve"> the relative importance of the different aspects of legitimacy in MGS and established a legitimacy profile for the sector. </w:t>
      </w:r>
      <w:r w:rsidRPr="00F214A6">
        <w:rPr>
          <w:rFonts w:ascii="Garamond" w:hAnsi="Garamond"/>
          <w:sz w:val="24"/>
          <w:szCs w:val="24"/>
          <w:lang w:val="en-US"/>
        </w:rPr>
        <w:t xml:space="preserve">Results suggest that there is a widespread perception in society regarding internal and external organizations validation. The findings also show that it is possible to achieve high levels of legitimacy regardless of their source. In other words, two organizations may have the same level of legitimacy, where one of them has only pragmatic legitimacy and the other moral legitimacy. </w:t>
      </w:r>
    </w:p>
    <w:p w14:paraId="0D5B9B1F" w14:textId="77777777" w:rsidR="001826C3" w:rsidRDefault="001826C3" w:rsidP="00214D5D">
      <w:pPr>
        <w:autoSpaceDE w:val="0"/>
        <w:jc w:val="both"/>
        <w:rPr>
          <w:rFonts w:ascii="Garamond" w:hAnsi="Garamond"/>
          <w:b/>
          <w:bCs/>
          <w:sz w:val="24"/>
          <w:szCs w:val="24"/>
          <w:lang w:val="en-US"/>
        </w:rPr>
      </w:pPr>
    </w:p>
    <w:p w14:paraId="0E5ABBD2" w14:textId="77777777" w:rsidR="008E1927" w:rsidRDefault="008E1927" w:rsidP="00214D5D">
      <w:pPr>
        <w:autoSpaceDE w:val="0"/>
        <w:jc w:val="both"/>
        <w:rPr>
          <w:rFonts w:ascii="Garamond" w:hAnsi="Garamond"/>
          <w:b/>
          <w:bCs/>
          <w:sz w:val="24"/>
          <w:szCs w:val="24"/>
          <w:lang w:val="en-US"/>
        </w:rPr>
      </w:pPr>
    </w:p>
    <w:p w14:paraId="49E42CAC" w14:textId="77777777" w:rsidR="001826C3" w:rsidRDefault="001826C3" w:rsidP="00214D5D">
      <w:pPr>
        <w:autoSpaceDE w:val="0"/>
        <w:jc w:val="both"/>
        <w:rPr>
          <w:rFonts w:ascii="Garamond" w:hAnsi="Garamond"/>
          <w:bCs/>
          <w:sz w:val="24"/>
          <w:szCs w:val="24"/>
          <w:lang w:val="en-US"/>
        </w:rPr>
      </w:pPr>
      <w:r w:rsidRPr="001826C3">
        <w:rPr>
          <w:rFonts w:ascii="Garamond" w:hAnsi="Garamond"/>
          <w:b/>
          <w:bCs/>
          <w:sz w:val="24"/>
          <w:szCs w:val="24"/>
          <w:lang w:val="en-US"/>
        </w:rPr>
        <w:t>KEY WORDS:</w:t>
      </w:r>
      <w:r>
        <w:rPr>
          <w:rFonts w:ascii="Garamond" w:hAnsi="Garamond"/>
          <w:bCs/>
          <w:sz w:val="24"/>
          <w:szCs w:val="24"/>
          <w:lang w:val="en-US"/>
        </w:rPr>
        <w:t xml:space="preserve"> Legitimacy, </w:t>
      </w:r>
      <w:r w:rsidRPr="00F214A6">
        <w:rPr>
          <w:rFonts w:ascii="Garamond" w:hAnsi="Garamond"/>
          <w:bCs/>
          <w:sz w:val="24"/>
          <w:szCs w:val="24"/>
          <w:lang w:val="en-GB"/>
        </w:rPr>
        <w:t>organizational legitimacy</w:t>
      </w:r>
      <w:r>
        <w:rPr>
          <w:rFonts w:ascii="Garamond" w:hAnsi="Garamond"/>
          <w:bCs/>
          <w:sz w:val="24"/>
          <w:szCs w:val="24"/>
          <w:lang w:val="en-GB"/>
        </w:rPr>
        <w:t xml:space="preserve">, </w:t>
      </w:r>
      <w:r w:rsidRPr="00F214A6">
        <w:rPr>
          <w:rFonts w:ascii="Garamond" w:hAnsi="Garamond"/>
          <w:bCs/>
          <w:sz w:val="24"/>
          <w:szCs w:val="24"/>
          <w:lang w:val="en-GB"/>
        </w:rPr>
        <w:t xml:space="preserve">Institutional </w:t>
      </w:r>
      <w:r>
        <w:rPr>
          <w:rFonts w:ascii="Garamond" w:hAnsi="Garamond"/>
          <w:bCs/>
          <w:sz w:val="24"/>
          <w:szCs w:val="24"/>
          <w:lang w:val="en-GB"/>
        </w:rPr>
        <w:t>T</w:t>
      </w:r>
      <w:r w:rsidRPr="00F214A6">
        <w:rPr>
          <w:rFonts w:ascii="Garamond" w:hAnsi="Garamond"/>
          <w:bCs/>
          <w:sz w:val="24"/>
          <w:szCs w:val="24"/>
          <w:lang w:val="en-GB"/>
        </w:rPr>
        <w:t>heory</w:t>
      </w:r>
      <w:r>
        <w:rPr>
          <w:rFonts w:ascii="Garamond" w:hAnsi="Garamond"/>
          <w:bCs/>
          <w:sz w:val="24"/>
          <w:szCs w:val="24"/>
          <w:lang w:val="en-GB"/>
        </w:rPr>
        <w:t xml:space="preserve">, </w:t>
      </w:r>
      <w:r w:rsidRPr="00F214A6">
        <w:rPr>
          <w:rFonts w:ascii="Garamond" w:hAnsi="Garamond"/>
          <w:bCs/>
          <w:sz w:val="24"/>
          <w:szCs w:val="24"/>
          <w:lang w:val="en-GB"/>
        </w:rPr>
        <w:t>Spanish Mutual Guarantee Societies</w:t>
      </w:r>
      <w:r>
        <w:rPr>
          <w:rFonts w:ascii="Garamond" w:hAnsi="Garamond"/>
          <w:bCs/>
          <w:sz w:val="24"/>
          <w:szCs w:val="24"/>
          <w:lang w:val="en-GB"/>
        </w:rPr>
        <w:t xml:space="preserve">, </w:t>
      </w:r>
      <w:r w:rsidRPr="001826C3">
        <w:rPr>
          <w:rFonts w:ascii="Garamond" w:hAnsi="Garamond"/>
          <w:iCs/>
          <w:sz w:val="24"/>
          <w:szCs w:val="24"/>
          <w:lang w:val="en-US"/>
        </w:rPr>
        <w:t>Analytic Hierarchy Process</w:t>
      </w:r>
      <w:r>
        <w:rPr>
          <w:rFonts w:ascii="Garamond" w:hAnsi="Garamond"/>
          <w:iCs/>
          <w:sz w:val="24"/>
          <w:szCs w:val="24"/>
          <w:lang w:val="en-US"/>
        </w:rPr>
        <w:t>.</w:t>
      </w:r>
    </w:p>
    <w:p w14:paraId="5192A3F7" w14:textId="77777777" w:rsidR="008561B4" w:rsidRDefault="008561B4" w:rsidP="00214D5D">
      <w:pPr>
        <w:autoSpaceDE w:val="0"/>
        <w:jc w:val="both"/>
        <w:rPr>
          <w:rFonts w:ascii="Garamond" w:hAnsi="Garamond"/>
          <w:bCs/>
          <w:sz w:val="24"/>
          <w:szCs w:val="24"/>
          <w:lang w:val="en-US"/>
        </w:rPr>
      </w:pPr>
    </w:p>
    <w:p w14:paraId="01A920A3" w14:textId="77777777" w:rsidR="008E1927" w:rsidRPr="008E1927" w:rsidRDefault="008E1927" w:rsidP="00214D5D">
      <w:pPr>
        <w:autoSpaceDE w:val="0"/>
        <w:jc w:val="both"/>
        <w:rPr>
          <w:rFonts w:ascii="Garamond" w:hAnsi="Garamond"/>
          <w:b/>
          <w:bCs/>
          <w:sz w:val="24"/>
          <w:szCs w:val="24"/>
          <w:lang w:val="en-US"/>
        </w:rPr>
      </w:pPr>
    </w:p>
    <w:sectPr w:rsidR="008E1927" w:rsidRPr="008E1927" w:rsidSect="008561B4">
      <w:headerReference w:type="default" r:id="rId7"/>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A370" w14:textId="77777777" w:rsidR="00F525A9" w:rsidRDefault="00F525A9" w:rsidP="00564875">
      <w:r>
        <w:separator/>
      </w:r>
    </w:p>
  </w:endnote>
  <w:endnote w:type="continuationSeparator" w:id="0">
    <w:p w14:paraId="58E0643E" w14:textId="77777777" w:rsidR="00F525A9" w:rsidRDefault="00F525A9" w:rsidP="0056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8C3C" w14:textId="77777777" w:rsidR="00F525A9" w:rsidRDefault="00F525A9" w:rsidP="00564875">
      <w:r>
        <w:separator/>
      </w:r>
    </w:p>
  </w:footnote>
  <w:footnote w:type="continuationSeparator" w:id="0">
    <w:p w14:paraId="3A4D8655" w14:textId="77777777" w:rsidR="00F525A9" w:rsidRDefault="00F525A9" w:rsidP="0056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8024" w14:textId="4EA41130" w:rsidR="00FE3C6B" w:rsidRPr="00BC6B41" w:rsidRDefault="00FE3C6B" w:rsidP="00FE3C6B">
    <w:pPr>
      <w:pStyle w:val="Encabezado"/>
      <w:spacing w:line="276" w:lineRule="auto"/>
      <w:rPr>
        <w:rFonts w:ascii="Garamond" w:hAnsi="Garamond"/>
        <w:lang w:val="en-US"/>
      </w:rPr>
    </w:pPr>
    <w:r w:rsidRPr="00BC6B41">
      <w:rPr>
        <w:rFonts w:ascii="Garamond" w:hAnsi="Garamond"/>
        <w:lang w:val="en-US"/>
      </w:rPr>
      <w:t>XXXVI</w:t>
    </w:r>
    <w:r w:rsidR="00BC6B41" w:rsidRPr="00BC6B41">
      <w:rPr>
        <w:rFonts w:ascii="Garamond" w:hAnsi="Garamond"/>
        <w:lang w:val="en-US"/>
      </w:rPr>
      <w:t>I</w:t>
    </w:r>
    <w:r w:rsidR="00641E7A">
      <w:rPr>
        <w:rFonts w:ascii="Garamond" w:hAnsi="Garamond"/>
        <w:lang w:val="en-US"/>
      </w:rPr>
      <w:t>I</w:t>
    </w:r>
    <w:r w:rsidRPr="00BC6B41">
      <w:rPr>
        <w:rFonts w:ascii="Garamond" w:hAnsi="Garamond"/>
        <w:lang w:val="en-US"/>
      </w:rPr>
      <w:t xml:space="preserve"> AEDEM Annual Meeting</w:t>
    </w:r>
  </w:p>
  <w:p w14:paraId="21DCB250" w14:textId="027887C7" w:rsidR="00034A60" w:rsidRPr="00BC6B41" w:rsidRDefault="00641E7A" w:rsidP="006011EC">
    <w:pPr>
      <w:pStyle w:val="Encabezado"/>
      <w:spacing w:line="276" w:lineRule="auto"/>
      <w:rPr>
        <w:rFonts w:ascii="Garamond" w:hAnsi="Garamond"/>
        <w:lang w:val="en-US"/>
      </w:rPr>
    </w:pPr>
    <w:r>
      <w:rPr>
        <w:rFonts w:ascii="Garamond" w:hAnsi="Garamond"/>
        <w:lang w:val="en-US"/>
      </w:rPr>
      <w:t>Toledo</w:t>
    </w:r>
    <w:r w:rsidR="00BC6B41" w:rsidRPr="00BC6B41">
      <w:rPr>
        <w:rFonts w:ascii="Garamond" w:hAnsi="Garamond"/>
        <w:lang w:val="en-US"/>
      </w:rPr>
      <w:t>,</w:t>
    </w:r>
    <w:r w:rsidR="00FE3C6B" w:rsidRPr="00BC6B41">
      <w:rPr>
        <w:rFonts w:ascii="Garamond" w:hAnsi="Garamond"/>
        <w:lang w:val="en-US"/>
      </w:rPr>
      <w:t xml:space="preserve"> 202</w:t>
    </w:r>
    <w:r>
      <w:rPr>
        <w:rFonts w:ascii="Garamond" w:hAnsi="Garamond"/>
        <w:lang w:val="en-US"/>
      </w:rPr>
      <w:t>4</w:t>
    </w:r>
  </w:p>
  <w:p w14:paraId="2AB16CD3" w14:textId="77777777" w:rsidR="00034A60" w:rsidRPr="00BC6B41" w:rsidRDefault="00034A60">
    <w:pPr>
      <w:pStyle w:val="Encabezado"/>
      <w:rPr>
        <w:rFonts w:ascii="Garamond" w:hAnsi="Garamond"/>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37"/>
    <w:rsid w:val="00034A60"/>
    <w:rsid w:val="00042537"/>
    <w:rsid w:val="00103E52"/>
    <w:rsid w:val="001826C3"/>
    <w:rsid w:val="001A0435"/>
    <w:rsid w:val="001A1216"/>
    <w:rsid w:val="001D1589"/>
    <w:rsid w:val="001F16D1"/>
    <w:rsid w:val="00214D5D"/>
    <w:rsid w:val="00255972"/>
    <w:rsid w:val="0026533F"/>
    <w:rsid w:val="002C4AB8"/>
    <w:rsid w:val="00302A7E"/>
    <w:rsid w:val="00303140"/>
    <w:rsid w:val="00303CFD"/>
    <w:rsid w:val="0033454D"/>
    <w:rsid w:val="00361363"/>
    <w:rsid w:val="00385E2A"/>
    <w:rsid w:val="003912D7"/>
    <w:rsid w:val="003C01BA"/>
    <w:rsid w:val="003E0132"/>
    <w:rsid w:val="003E2568"/>
    <w:rsid w:val="00412101"/>
    <w:rsid w:val="004A53C8"/>
    <w:rsid w:val="0051347F"/>
    <w:rsid w:val="005558AE"/>
    <w:rsid w:val="00564875"/>
    <w:rsid w:val="00577238"/>
    <w:rsid w:val="005A12A1"/>
    <w:rsid w:val="005B036C"/>
    <w:rsid w:val="005B78FD"/>
    <w:rsid w:val="006011EC"/>
    <w:rsid w:val="00633D47"/>
    <w:rsid w:val="0063635C"/>
    <w:rsid w:val="00641E7A"/>
    <w:rsid w:val="00672928"/>
    <w:rsid w:val="006E1245"/>
    <w:rsid w:val="00794A5C"/>
    <w:rsid w:val="007B14FF"/>
    <w:rsid w:val="00813DF2"/>
    <w:rsid w:val="008561B4"/>
    <w:rsid w:val="00881C4E"/>
    <w:rsid w:val="008E1927"/>
    <w:rsid w:val="008F1C37"/>
    <w:rsid w:val="0092351E"/>
    <w:rsid w:val="009C669B"/>
    <w:rsid w:val="009F1477"/>
    <w:rsid w:val="00A43030"/>
    <w:rsid w:val="00A62E60"/>
    <w:rsid w:val="00AF2A3F"/>
    <w:rsid w:val="00B104B9"/>
    <w:rsid w:val="00B302EF"/>
    <w:rsid w:val="00B41034"/>
    <w:rsid w:val="00B55D40"/>
    <w:rsid w:val="00BC6B41"/>
    <w:rsid w:val="00BC76AA"/>
    <w:rsid w:val="00CC1A3F"/>
    <w:rsid w:val="00CE435B"/>
    <w:rsid w:val="00D53922"/>
    <w:rsid w:val="00D97AAF"/>
    <w:rsid w:val="00DD2D69"/>
    <w:rsid w:val="00DD709A"/>
    <w:rsid w:val="00E42B8A"/>
    <w:rsid w:val="00E93580"/>
    <w:rsid w:val="00EA791A"/>
    <w:rsid w:val="00F214A6"/>
    <w:rsid w:val="00F34FFC"/>
    <w:rsid w:val="00F435F1"/>
    <w:rsid w:val="00F525A9"/>
    <w:rsid w:val="00F76F08"/>
    <w:rsid w:val="00F83F7B"/>
    <w:rsid w:val="00FE3C6B"/>
    <w:rsid w:val="00FF3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1CE545"/>
  <w15:docId w15:val="{97458C28-09DA-44D1-83A7-C55D30FF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2A1"/>
    <w:pPr>
      <w:suppressAutoHyphens/>
    </w:pPr>
    <w:rPr>
      <w:rFonts w:eastAsia="Calibri"/>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5A12A1"/>
  </w:style>
  <w:style w:type="character" w:customStyle="1" w:styleId="WW-Absatz-Standardschriftart">
    <w:name w:val="WW-Absatz-Standardschriftart"/>
    <w:rsid w:val="005A12A1"/>
  </w:style>
  <w:style w:type="character" w:customStyle="1" w:styleId="WW-Absatz-Standardschriftart1">
    <w:name w:val="WW-Absatz-Standardschriftart1"/>
    <w:rsid w:val="005A12A1"/>
  </w:style>
  <w:style w:type="character" w:customStyle="1" w:styleId="WW-Absatz-Standardschriftart11">
    <w:name w:val="WW-Absatz-Standardschriftart11"/>
    <w:rsid w:val="005A12A1"/>
  </w:style>
  <w:style w:type="character" w:customStyle="1" w:styleId="WW-Absatz-Standardschriftart111">
    <w:name w:val="WW-Absatz-Standardschriftart111"/>
    <w:rsid w:val="005A12A1"/>
  </w:style>
  <w:style w:type="character" w:customStyle="1" w:styleId="WW8Num2z0">
    <w:name w:val="WW8Num2z0"/>
    <w:rsid w:val="005A12A1"/>
    <w:rPr>
      <w:rFonts w:ascii="Wingdings" w:hAnsi="Wingdings"/>
      <w:sz w:val="20"/>
    </w:rPr>
  </w:style>
  <w:style w:type="character" w:customStyle="1" w:styleId="WW8Num3z0">
    <w:name w:val="WW8Num3z0"/>
    <w:rsid w:val="005A12A1"/>
    <w:rPr>
      <w:rFonts w:ascii="Wingdings" w:hAnsi="Wingdings"/>
      <w:sz w:val="20"/>
    </w:rPr>
  </w:style>
  <w:style w:type="character" w:customStyle="1" w:styleId="Fuentedeprrafopredeter1">
    <w:name w:val="Fuente de párrafo predeter.1"/>
    <w:rsid w:val="005A12A1"/>
  </w:style>
  <w:style w:type="character" w:customStyle="1" w:styleId="eacep">
    <w:name w:val="eacep"/>
    <w:basedOn w:val="Fuentedeprrafopredeter1"/>
    <w:rsid w:val="005A12A1"/>
  </w:style>
  <w:style w:type="character" w:customStyle="1" w:styleId="FootnoteCharacters">
    <w:name w:val="Footnote Characters"/>
    <w:basedOn w:val="Fuentedeprrafopredeter1"/>
    <w:rsid w:val="005A12A1"/>
    <w:rPr>
      <w:vertAlign w:val="superscript"/>
    </w:rPr>
  </w:style>
  <w:style w:type="character" w:customStyle="1" w:styleId="Refdecomentario1">
    <w:name w:val="Ref. de comentario1"/>
    <w:basedOn w:val="Fuentedeprrafopredeter1"/>
    <w:rsid w:val="005A12A1"/>
    <w:rPr>
      <w:sz w:val="16"/>
      <w:szCs w:val="16"/>
    </w:rPr>
  </w:style>
  <w:style w:type="character" w:styleId="Hipervnculo">
    <w:name w:val="Hyperlink"/>
    <w:basedOn w:val="Fuentedeprrafopredeter1"/>
    <w:rsid w:val="005A12A1"/>
    <w:rPr>
      <w:color w:val="0000FF"/>
      <w:u w:val="single"/>
    </w:rPr>
  </w:style>
  <w:style w:type="character" w:styleId="nfasis">
    <w:name w:val="Emphasis"/>
    <w:basedOn w:val="Fuentedeprrafopredeter1"/>
    <w:qFormat/>
    <w:rsid w:val="005A12A1"/>
    <w:rPr>
      <w:i/>
      <w:iCs/>
    </w:rPr>
  </w:style>
  <w:style w:type="character" w:styleId="Refdenotaalpie">
    <w:name w:val="footnote reference"/>
    <w:rsid w:val="005A12A1"/>
    <w:rPr>
      <w:vertAlign w:val="superscript"/>
    </w:rPr>
  </w:style>
  <w:style w:type="character" w:customStyle="1" w:styleId="EndnoteCharacters">
    <w:name w:val="Endnote Characters"/>
    <w:rsid w:val="005A12A1"/>
    <w:rPr>
      <w:vertAlign w:val="superscript"/>
    </w:rPr>
  </w:style>
  <w:style w:type="character" w:customStyle="1" w:styleId="WW-EndnoteCharacters">
    <w:name w:val="WW-Endnote Characters"/>
    <w:rsid w:val="005A12A1"/>
  </w:style>
  <w:style w:type="character" w:styleId="Refdenotaalfinal">
    <w:name w:val="endnote reference"/>
    <w:rsid w:val="005A12A1"/>
    <w:rPr>
      <w:vertAlign w:val="superscript"/>
    </w:rPr>
  </w:style>
  <w:style w:type="paragraph" w:customStyle="1" w:styleId="Heading">
    <w:name w:val="Heading"/>
    <w:basedOn w:val="Normal"/>
    <w:next w:val="Textoindependiente"/>
    <w:rsid w:val="005A12A1"/>
    <w:pPr>
      <w:keepNext/>
      <w:spacing w:before="240" w:after="120"/>
    </w:pPr>
    <w:rPr>
      <w:rFonts w:ascii="Arial" w:eastAsia="SimSun" w:hAnsi="Arial" w:cs="Tahoma"/>
      <w:sz w:val="28"/>
      <w:szCs w:val="28"/>
    </w:rPr>
  </w:style>
  <w:style w:type="paragraph" w:styleId="Textoindependiente">
    <w:name w:val="Body Text"/>
    <w:basedOn w:val="Normal"/>
    <w:rsid w:val="005A12A1"/>
    <w:pPr>
      <w:jc w:val="both"/>
    </w:pPr>
    <w:rPr>
      <w:rFonts w:ascii="Garamond" w:hAnsi="Garamond"/>
      <w:szCs w:val="20"/>
      <w:lang w:val="es-ES_tradnl"/>
    </w:rPr>
  </w:style>
  <w:style w:type="paragraph" w:styleId="Lista">
    <w:name w:val="List"/>
    <w:basedOn w:val="Textoindependiente"/>
    <w:rsid w:val="005A12A1"/>
    <w:rPr>
      <w:rFonts w:cs="Tahoma"/>
    </w:rPr>
  </w:style>
  <w:style w:type="paragraph" w:customStyle="1" w:styleId="Epgrafe1">
    <w:name w:val="Epígrafe1"/>
    <w:basedOn w:val="Normal"/>
    <w:rsid w:val="005A12A1"/>
    <w:pPr>
      <w:suppressLineNumbers/>
      <w:spacing w:before="120" w:after="120"/>
    </w:pPr>
    <w:rPr>
      <w:rFonts w:cs="Tahoma"/>
      <w:i/>
      <w:iCs/>
      <w:sz w:val="24"/>
      <w:szCs w:val="24"/>
    </w:rPr>
  </w:style>
  <w:style w:type="paragraph" w:customStyle="1" w:styleId="Index">
    <w:name w:val="Index"/>
    <w:basedOn w:val="Normal"/>
    <w:rsid w:val="005A12A1"/>
    <w:pPr>
      <w:suppressLineNumbers/>
    </w:pPr>
    <w:rPr>
      <w:rFonts w:cs="Tahoma"/>
    </w:rPr>
  </w:style>
  <w:style w:type="paragraph" w:customStyle="1" w:styleId="Style3">
    <w:name w:val="Style 3"/>
    <w:basedOn w:val="Normal"/>
    <w:rsid w:val="005A12A1"/>
    <w:pPr>
      <w:widowControl w:val="0"/>
      <w:spacing w:line="216" w:lineRule="atLeast"/>
    </w:pPr>
    <w:rPr>
      <w:color w:val="000000"/>
      <w:sz w:val="20"/>
      <w:szCs w:val="20"/>
    </w:rPr>
  </w:style>
  <w:style w:type="paragraph" w:styleId="Textonotapie">
    <w:name w:val="footnote text"/>
    <w:basedOn w:val="Normal"/>
    <w:rsid w:val="005A12A1"/>
    <w:rPr>
      <w:sz w:val="20"/>
      <w:szCs w:val="20"/>
    </w:rPr>
  </w:style>
  <w:style w:type="paragraph" w:customStyle="1" w:styleId="Textocomentario1">
    <w:name w:val="Texto comentario1"/>
    <w:basedOn w:val="Normal"/>
    <w:rsid w:val="005A12A1"/>
    <w:rPr>
      <w:sz w:val="20"/>
      <w:szCs w:val="20"/>
    </w:rPr>
  </w:style>
  <w:style w:type="paragraph" w:styleId="Asuntodelcomentario">
    <w:name w:val="annotation subject"/>
    <w:basedOn w:val="Textocomentario1"/>
    <w:next w:val="Textocomentario1"/>
    <w:rsid w:val="005A12A1"/>
    <w:rPr>
      <w:b/>
      <w:bCs/>
    </w:rPr>
  </w:style>
  <w:style w:type="paragraph" w:styleId="Textodeglobo">
    <w:name w:val="Balloon Text"/>
    <w:basedOn w:val="Normal"/>
    <w:rsid w:val="005A12A1"/>
    <w:rPr>
      <w:rFonts w:ascii="Tahoma" w:hAnsi="Tahoma" w:cs="Tahoma"/>
      <w:sz w:val="16"/>
      <w:szCs w:val="16"/>
    </w:rPr>
  </w:style>
  <w:style w:type="paragraph" w:styleId="Revisin">
    <w:name w:val="Revision"/>
    <w:rsid w:val="005A12A1"/>
    <w:pPr>
      <w:suppressAutoHyphens/>
    </w:pPr>
    <w:rPr>
      <w:rFonts w:eastAsia="Arial"/>
      <w:sz w:val="24"/>
      <w:szCs w:val="24"/>
      <w:lang w:eastAsia="ar-SA"/>
    </w:rPr>
  </w:style>
  <w:style w:type="paragraph" w:customStyle="1" w:styleId="TableContents">
    <w:name w:val="Table Contents"/>
    <w:basedOn w:val="Normal"/>
    <w:rsid w:val="005A12A1"/>
    <w:pPr>
      <w:suppressLineNumbers/>
    </w:pPr>
  </w:style>
  <w:style w:type="paragraph" w:customStyle="1" w:styleId="TableHeading">
    <w:name w:val="Table Heading"/>
    <w:basedOn w:val="TableContents"/>
    <w:rsid w:val="005A12A1"/>
    <w:pPr>
      <w:jc w:val="center"/>
    </w:pPr>
    <w:rPr>
      <w:b/>
      <w:bCs/>
    </w:rPr>
  </w:style>
  <w:style w:type="paragraph" w:styleId="Textonotaalfinal">
    <w:name w:val="endnote text"/>
    <w:basedOn w:val="Normal"/>
    <w:link w:val="TextonotaalfinalCar"/>
    <w:uiPriority w:val="99"/>
    <w:semiHidden/>
    <w:unhideWhenUsed/>
    <w:rsid w:val="00564875"/>
    <w:rPr>
      <w:sz w:val="20"/>
      <w:szCs w:val="20"/>
    </w:rPr>
  </w:style>
  <w:style w:type="character" w:customStyle="1" w:styleId="TextonotaalfinalCar">
    <w:name w:val="Texto nota al final Car"/>
    <w:basedOn w:val="Fuentedeprrafopredeter"/>
    <w:link w:val="Textonotaalfinal"/>
    <w:uiPriority w:val="99"/>
    <w:semiHidden/>
    <w:rsid w:val="00564875"/>
    <w:rPr>
      <w:rFonts w:eastAsia="Calibri"/>
      <w:lang w:eastAsia="ar-SA"/>
    </w:rPr>
  </w:style>
  <w:style w:type="paragraph" w:styleId="Encabezado">
    <w:name w:val="header"/>
    <w:basedOn w:val="Normal"/>
    <w:link w:val="EncabezadoCar"/>
    <w:uiPriority w:val="99"/>
    <w:unhideWhenUsed/>
    <w:rsid w:val="006E1245"/>
    <w:pPr>
      <w:tabs>
        <w:tab w:val="center" w:pos="4252"/>
        <w:tab w:val="right" w:pos="8504"/>
      </w:tabs>
    </w:pPr>
  </w:style>
  <w:style w:type="character" w:customStyle="1" w:styleId="EncabezadoCar">
    <w:name w:val="Encabezado Car"/>
    <w:basedOn w:val="Fuentedeprrafopredeter"/>
    <w:link w:val="Encabezado"/>
    <w:uiPriority w:val="99"/>
    <w:rsid w:val="006E1245"/>
    <w:rPr>
      <w:rFonts w:eastAsia="Calibri"/>
      <w:sz w:val="22"/>
      <w:szCs w:val="22"/>
      <w:lang w:eastAsia="ar-SA"/>
    </w:rPr>
  </w:style>
  <w:style w:type="paragraph" w:styleId="Piedepgina">
    <w:name w:val="footer"/>
    <w:basedOn w:val="Normal"/>
    <w:link w:val="PiedepginaCar"/>
    <w:uiPriority w:val="99"/>
    <w:unhideWhenUsed/>
    <w:rsid w:val="006E1245"/>
    <w:pPr>
      <w:tabs>
        <w:tab w:val="center" w:pos="4252"/>
        <w:tab w:val="right" w:pos="8504"/>
      </w:tabs>
    </w:pPr>
  </w:style>
  <w:style w:type="character" w:customStyle="1" w:styleId="PiedepginaCar">
    <w:name w:val="Pie de página Car"/>
    <w:basedOn w:val="Fuentedeprrafopredeter"/>
    <w:link w:val="Piedepgina"/>
    <w:uiPriority w:val="99"/>
    <w:rsid w:val="006E1245"/>
    <w:rPr>
      <w:rFonts w:eastAsia="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22989-200C-40EA-B395-06C5D624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La legitimidad, pertenece a la teoría institucional</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legitimidad, pertenece a la teoría institucional</dc:title>
  <dc:creator>Fran y Anabel</dc:creator>
  <cp:lastModifiedBy>Nuria Ramos Vecino</cp:lastModifiedBy>
  <cp:revision>2</cp:revision>
  <cp:lastPrinted>2009-09-21T17:14:00Z</cp:lastPrinted>
  <dcterms:created xsi:type="dcterms:W3CDTF">2023-12-18T10:05:00Z</dcterms:created>
  <dcterms:modified xsi:type="dcterms:W3CDTF">2023-12-18T10:05:00Z</dcterms:modified>
</cp:coreProperties>
</file>